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tblGrid>
      <w:tr w:rsidR="00BA0059" w:rsidRPr="005A2F73" w:rsidTr="00D037EA">
        <w:tc>
          <w:tcPr>
            <w:tcW w:w="8362" w:type="dxa"/>
            <w:vAlign w:val="center"/>
          </w:tcPr>
          <w:p w:rsidR="00BA0059" w:rsidRDefault="00BA0059" w:rsidP="00DD57A8">
            <w:pPr>
              <w:ind w:right="-113"/>
              <w:jc w:val="center"/>
              <w:rPr>
                <w:rFonts w:eastAsia="標楷體"/>
                <w:b/>
                <w:sz w:val="36"/>
                <w:szCs w:val="36"/>
              </w:rPr>
            </w:pPr>
            <w:bookmarkStart w:id="0" w:name="_GoBack"/>
            <w:bookmarkEnd w:id="0"/>
            <w:r w:rsidRPr="005A2F73">
              <w:rPr>
                <w:rFonts w:eastAsia="標楷體"/>
                <w:b/>
                <w:sz w:val="36"/>
                <w:szCs w:val="36"/>
              </w:rPr>
              <w:t>樹德科技大學創新育成中心營運管理辦法</w:t>
            </w:r>
          </w:p>
          <w:p w:rsidR="00DD57A8" w:rsidRPr="005A2F73" w:rsidRDefault="00DD57A8" w:rsidP="00DD57A8">
            <w:pPr>
              <w:ind w:right="-113"/>
              <w:rPr>
                <w:rFonts w:eastAsia="標楷體"/>
                <w:szCs w:val="20"/>
              </w:rPr>
            </w:pPr>
          </w:p>
        </w:tc>
      </w:tr>
      <w:tr w:rsidR="00BA0059" w:rsidRPr="005A2F73" w:rsidTr="00D037EA">
        <w:trPr>
          <w:trHeight w:val="7393"/>
        </w:trPr>
        <w:tc>
          <w:tcPr>
            <w:tcW w:w="8362" w:type="dxa"/>
          </w:tcPr>
          <w:p w:rsidR="00BA0059" w:rsidRPr="00DD57A8" w:rsidRDefault="00BA0059" w:rsidP="00DD57A8">
            <w:pPr>
              <w:numPr>
                <w:ilvl w:val="0"/>
                <w:numId w:val="1"/>
              </w:numPr>
              <w:adjustRightInd/>
              <w:snapToGrid/>
              <w:spacing w:line="240" w:lineRule="auto"/>
              <w:ind w:right="-113"/>
              <w:rPr>
                <w:rFonts w:eastAsia="標楷體"/>
                <w:sz w:val="24"/>
              </w:rPr>
            </w:pPr>
            <w:r w:rsidRPr="00DD57A8">
              <w:rPr>
                <w:rFonts w:eastAsia="標楷體"/>
                <w:sz w:val="24"/>
              </w:rPr>
              <w:t>樹德科技大學創新育成中心（以下簡稱本中心）為使進駐之中小企業順利發展茁壯，以建立具設計領域特色之創新育成中心為目標，運用創意、創新之設計特長，以「創意產業」的角度思考，作為區域產業發展之方向，並結合本校各院所系之相關研究資源與能力，提供產業界各創新研究服務，讓學術與實務緊密結合，特訂定樹德科技大學創新育成中心營運管理辦法</w:t>
            </w:r>
            <w:r w:rsidRPr="00DD57A8">
              <w:rPr>
                <w:rFonts w:eastAsia="標楷體"/>
                <w:sz w:val="24"/>
              </w:rPr>
              <w:t>(</w:t>
            </w:r>
            <w:r w:rsidRPr="00DD57A8">
              <w:rPr>
                <w:rFonts w:eastAsia="標楷體"/>
                <w:sz w:val="24"/>
              </w:rPr>
              <w:t>以下簡稱本辦法</w:t>
            </w:r>
            <w:r w:rsidRPr="00DD57A8">
              <w:rPr>
                <w:rFonts w:eastAsia="標楷體"/>
                <w:sz w:val="24"/>
              </w:rPr>
              <w:t>)</w:t>
            </w:r>
            <w:r w:rsidRPr="00DD57A8">
              <w:rPr>
                <w:rFonts w:eastAsia="標楷體"/>
                <w:sz w:val="24"/>
              </w:rPr>
              <w:t>。</w:t>
            </w:r>
          </w:p>
          <w:p w:rsidR="00BA0059" w:rsidRPr="00DD57A8" w:rsidRDefault="00BA0059" w:rsidP="00DD57A8">
            <w:pPr>
              <w:numPr>
                <w:ilvl w:val="0"/>
                <w:numId w:val="1"/>
              </w:numPr>
              <w:adjustRightInd/>
              <w:snapToGrid/>
              <w:spacing w:line="240" w:lineRule="auto"/>
              <w:ind w:right="-113"/>
              <w:rPr>
                <w:rFonts w:eastAsia="標楷體"/>
                <w:sz w:val="24"/>
              </w:rPr>
            </w:pPr>
            <w:r w:rsidRPr="00DD57A8">
              <w:rPr>
                <w:rFonts w:eastAsia="標楷體"/>
                <w:sz w:val="24"/>
              </w:rPr>
              <w:t>進駐本中心之對象，凡在中華民國境內符合中小企業之認定標準，其技術或產品具創新性或已具雛形，均可提出申請。</w:t>
            </w:r>
          </w:p>
          <w:p w:rsidR="00BA0059" w:rsidRPr="00DD57A8" w:rsidRDefault="00BA0059" w:rsidP="00DD57A8">
            <w:pPr>
              <w:numPr>
                <w:ilvl w:val="0"/>
                <w:numId w:val="1"/>
              </w:numPr>
              <w:adjustRightInd/>
              <w:snapToGrid/>
              <w:spacing w:line="240" w:lineRule="auto"/>
              <w:ind w:right="-113"/>
              <w:rPr>
                <w:rFonts w:eastAsia="標楷體"/>
                <w:sz w:val="24"/>
              </w:rPr>
            </w:pPr>
            <w:r w:rsidRPr="00DD57A8">
              <w:rPr>
                <w:rFonts w:eastAsia="標楷體"/>
                <w:sz w:val="24"/>
              </w:rPr>
              <w:t>申請進駐本中心應經由本中心推動委員會審查通過，並簽訂進駐輔導合約後始得進駐，其申請進駐辦法依「樹德科技大學創新育成中心進駐申請評審辦法」。</w:t>
            </w:r>
          </w:p>
          <w:p w:rsidR="00BA0059" w:rsidRPr="00DD57A8" w:rsidRDefault="00BA0059" w:rsidP="00DD57A8">
            <w:pPr>
              <w:numPr>
                <w:ilvl w:val="0"/>
                <w:numId w:val="1"/>
              </w:numPr>
              <w:adjustRightInd/>
              <w:snapToGrid/>
              <w:spacing w:line="240" w:lineRule="auto"/>
              <w:ind w:right="-113"/>
              <w:rPr>
                <w:rFonts w:eastAsia="標楷體"/>
                <w:sz w:val="24"/>
              </w:rPr>
            </w:pPr>
            <w:r w:rsidRPr="00DD57A8">
              <w:rPr>
                <w:rFonts w:eastAsia="標楷體"/>
                <w:sz w:val="24"/>
              </w:rPr>
              <w:t>企業進駐本校創新育成中心</w:t>
            </w:r>
            <w:proofErr w:type="gramStart"/>
            <w:r w:rsidRPr="00DD57A8">
              <w:rPr>
                <w:rFonts w:eastAsia="標楷體"/>
                <w:sz w:val="24"/>
              </w:rPr>
              <w:t>期間，</w:t>
            </w:r>
            <w:proofErr w:type="gramEnd"/>
            <w:r w:rsidRPr="00DD57A8">
              <w:rPr>
                <w:rFonts w:eastAsia="標楷體"/>
                <w:sz w:val="24"/>
              </w:rPr>
              <w:t>應接受輔導教師及專業顧問進行輔導。</w:t>
            </w:r>
          </w:p>
          <w:p w:rsidR="00BA0059" w:rsidRPr="00DD57A8" w:rsidRDefault="00BA0059" w:rsidP="00DD57A8">
            <w:pPr>
              <w:numPr>
                <w:ilvl w:val="0"/>
                <w:numId w:val="1"/>
              </w:numPr>
              <w:adjustRightInd/>
              <w:snapToGrid/>
              <w:spacing w:line="240" w:lineRule="auto"/>
              <w:ind w:right="-113"/>
              <w:rPr>
                <w:rFonts w:eastAsia="標楷體"/>
                <w:sz w:val="24"/>
              </w:rPr>
            </w:pPr>
            <w:r w:rsidRPr="00DD57A8">
              <w:rPr>
                <w:rFonts w:eastAsia="標楷體"/>
                <w:sz w:val="24"/>
              </w:rPr>
              <w:t>本中心對進駐企業之管理項目包括進駐人員及場所管理、公共設施管理及營運績效管理。</w:t>
            </w:r>
          </w:p>
          <w:p w:rsidR="00BA0059" w:rsidRPr="00DD57A8" w:rsidRDefault="00BA0059" w:rsidP="00DD57A8">
            <w:pPr>
              <w:numPr>
                <w:ilvl w:val="0"/>
                <w:numId w:val="1"/>
              </w:numPr>
              <w:adjustRightInd/>
              <w:snapToGrid/>
              <w:spacing w:line="240" w:lineRule="auto"/>
              <w:ind w:right="-113"/>
              <w:rPr>
                <w:rFonts w:eastAsia="標楷體"/>
                <w:sz w:val="24"/>
              </w:rPr>
            </w:pPr>
            <w:r w:rsidRPr="00DD57A8">
              <w:rPr>
                <w:rFonts w:eastAsia="標楷體"/>
                <w:sz w:val="24"/>
              </w:rPr>
              <w:t>本中心輔導產業類別：</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文化創意產業。</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行銷流通產業。</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資訊科技產業。</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綠色休閒產業。</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幼教與保健產業。</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餐飲觀光產業。</w:t>
            </w:r>
          </w:p>
          <w:p w:rsidR="00BA0059" w:rsidRPr="00DD57A8" w:rsidRDefault="00BA0059" w:rsidP="00DD57A8">
            <w:pPr>
              <w:numPr>
                <w:ilvl w:val="0"/>
                <w:numId w:val="1"/>
              </w:numPr>
              <w:adjustRightInd/>
              <w:snapToGrid/>
              <w:spacing w:line="240" w:lineRule="auto"/>
              <w:ind w:right="-113"/>
              <w:rPr>
                <w:rFonts w:eastAsia="標楷體"/>
                <w:sz w:val="24"/>
              </w:rPr>
            </w:pPr>
            <w:r w:rsidRPr="00DD57A8">
              <w:rPr>
                <w:rFonts w:eastAsia="標楷體"/>
                <w:sz w:val="24"/>
              </w:rPr>
              <w:t>本中心服務項目：</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空間與設備：設置培育室、創意主題工作坊；設置橫山創意基地；設計公共空間；其他</w:t>
            </w:r>
            <w:proofErr w:type="gramStart"/>
            <w:r w:rsidRPr="00DD57A8">
              <w:rPr>
                <w:rFonts w:eastAsia="標楷體"/>
                <w:sz w:val="24"/>
              </w:rPr>
              <w:t>週</w:t>
            </w:r>
            <w:proofErr w:type="gramEnd"/>
            <w:r w:rsidRPr="00DD57A8">
              <w:rPr>
                <w:rFonts w:eastAsia="標楷體"/>
                <w:sz w:val="24"/>
              </w:rPr>
              <w:t>邊設施。</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優質輔導人力：</w:t>
            </w:r>
            <w:r w:rsidRPr="00DD57A8">
              <w:rPr>
                <w:rFonts w:eastAsia="標楷體"/>
                <w:sz w:val="24"/>
              </w:rPr>
              <w:t>300</w:t>
            </w:r>
            <w:r w:rsidRPr="00DD57A8">
              <w:rPr>
                <w:rFonts w:eastAsia="標楷體"/>
                <w:sz w:val="24"/>
              </w:rPr>
              <w:t>位設計、管理、資訊等各類專長之優秀師資群。</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營運管理之協助與規劃：財務、會計、稅務之輔導；產品行銷通路與市場推廣之輔導；人力資源建構之輔導；市場動態趨勢分析與建議；提供管理營運諮詢服務；產學合作、委託研究開發計畫。</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資源補助與行銷之支援與協助：協助取得各項政府補助計畫；協助取得政府創業融資貸款；協助展演與活動之規劃；協助建立行銷通路。</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建</w:t>
            </w:r>
            <w:proofErr w:type="gramStart"/>
            <w:r w:rsidRPr="00DD57A8">
              <w:rPr>
                <w:rFonts w:eastAsia="標楷體"/>
                <w:sz w:val="24"/>
              </w:rPr>
              <w:t>構文創</w:t>
            </w:r>
            <w:proofErr w:type="gramEnd"/>
            <w:r w:rsidRPr="00DD57A8">
              <w:rPr>
                <w:rFonts w:eastAsia="標楷體"/>
                <w:sz w:val="24"/>
              </w:rPr>
              <w:t>產品展銷平台：設置台灣師範大學創意市集展售平台；西門</w:t>
            </w:r>
            <w:proofErr w:type="gramStart"/>
            <w:r w:rsidRPr="00DD57A8">
              <w:rPr>
                <w:rFonts w:eastAsia="標楷體"/>
                <w:sz w:val="24"/>
              </w:rPr>
              <w:t>紅樓文創精品</w:t>
            </w:r>
            <w:proofErr w:type="gramEnd"/>
            <w:r w:rsidRPr="00DD57A8">
              <w:rPr>
                <w:rFonts w:eastAsia="標楷體"/>
                <w:sz w:val="24"/>
              </w:rPr>
              <w:t>網路商城；</w:t>
            </w:r>
            <w:proofErr w:type="gramStart"/>
            <w:r w:rsidRPr="00DD57A8">
              <w:rPr>
                <w:rFonts w:eastAsia="標楷體"/>
                <w:sz w:val="24"/>
              </w:rPr>
              <w:t>北藝風</w:t>
            </w:r>
            <w:proofErr w:type="gramEnd"/>
            <w:r w:rsidRPr="00DD57A8">
              <w:rPr>
                <w:rFonts w:eastAsia="標楷體"/>
                <w:sz w:val="24"/>
              </w:rPr>
              <w:t>概念店。</w:t>
            </w:r>
          </w:p>
          <w:p w:rsidR="00BA0059" w:rsidRPr="00DD57A8" w:rsidRDefault="00BA0059" w:rsidP="00DD57A8">
            <w:pPr>
              <w:numPr>
                <w:ilvl w:val="0"/>
                <w:numId w:val="1"/>
              </w:numPr>
              <w:adjustRightInd/>
              <w:snapToGrid/>
              <w:spacing w:line="240" w:lineRule="auto"/>
              <w:ind w:right="-113"/>
              <w:rPr>
                <w:rFonts w:eastAsia="標楷體"/>
                <w:sz w:val="24"/>
              </w:rPr>
            </w:pPr>
            <w:r w:rsidRPr="00DD57A8">
              <w:rPr>
                <w:rFonts w:eastAsia="標楷體"/>
                <w:sz w:val="24"/>
              </w:rPr>
              <w:t>本中心對進駐企業之考核包括下列七項：</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lastRenderedPageBreak/>
              <w:t>營業項目是否相符。</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營業績效的程度。</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款項繳付信用。</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違法情事。</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輔導營運合約履行。</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遷離、畢業、展延條件審視。</w:t>
            </w:r>
          </w:p>
          <w:p w:rsidR="00BA0059" w:rsidRPr="00DD57A8" w:rsidRDefault="00BA0059" w:rsidP="00DD57A8">
            <w:pPr>
              <w:numPr>
                <w:ilvl w:val="0"/>
                <w:numId w:val="1"/>
              </w:numPr>
              <w:adjustRightInd/>
              <w:snapToGrid/>
              <w:spacing w:line="240" w:lineRule="auto"/>
              <w:ind w:right="-113"/>
              <w:rPr>
                <w:rFonts w:eastAsia="標楷體"/>
                <w:sz w:val="24"/>
              </w:rPr>
            </w:pPr>
            <w:r w:rsidRPr="00DD57A8">
              <w:rPr>
                <w:rFonts w:eastAsia="標楷體"/>
                <w:sz w:val="24"/>
              </w:rPr>
              <w:t>輔導程序</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首先由本中心計畫主持人及專案經理與進駐企業共同商定未來進駐及每年輔導項目，並由本中心追蹤列管。</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向進駐企業宣導本中心的育成理念，本中心提供有利營運之環境、輔導之能量，不過企業經營成敗仍操之在己。</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本中心會依據進駐企業之需求，推薦輔導專家諮詢或聘任顧問，其專業輔導專家將由本中心的菁英顧問團隊中遴選合適專家，或是由進駐企業自行遴選亦可。</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專業性諮詢以外之行政服務，</w:t>
            </w:r>
            <w:proofErr w:type="gramStart"/>
            <w:r w:rsidRPr="00DD57A8">
              <w:rPr>
                <w:rFonts w:eastAsia="標楷體"/>
                <w:sz w:val="24"/>
              </w:rPr>
              <w:t>均由本</w:t>
            </w:r>
            <w:proofErr w:type="gramEnd"/>
            <w:r w:rsidRPr="00DD57A8">
              <w:rPr>
                <w:rFonts w:eastAsia="標楷體"/>
                <w:sz w:val="24"/>
              </w:rPr>
              <w:t>中心協調輔導專家群協助完成。</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輔導顧問將定期回報輔導狀況，由中心經理審閱後呈報本中心計畫主持人審閱，必要時得召開推動委員會協助改善營運狀況。</w:t>
            </w:r>
          </w:p>
          <w:p w:rsidR="00BA0059" w:rsidRPr="00DD57A8" w:rsidRDefault="00BA0059" w:rsidP="00DD57A8">
            <w:pPr>
              <w:numPr>
                <w:ilvl w:val="0"/>
                <w:numId w:val="1"/>
              </w:numPr>
              <w:adjustRightInd/>
              <w:snapToGrid/>
              <w:spacing w:line="240" w:lineRule="auto"/>
              <w:ind w:right="-113"/>
              <w:rPr>
                <w:rFonts w:eastAsia="標楷體"/>
                <w:sz w:val="24"/>
              </w:rPr>
            </w:pPr>
            <w:r w:rsidRPr="00DD57A8">
              <w:rPr>
                <w:rFonts w:eastAsia="標楷體"/>
                <w:sz w:val="24"/>
              </w:rPr>
              <w:t>輔導費用及回饋機制</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免費輔導項目</w:t>
            </w:r>
          </w:p>
          <w:p w:rsidR="00BA0059" w:rsidRPr="00DD57A8" w:rsidRDefault="00BA0059" w:rsidP="00DD57A8">
            <w:pPr>
              <w:numPr>
                <w:ilvl w:val="3"/>
                <w:numId w:val="1"/>
              </w:numPr>
              <w:adjustRightInd/>
              <w:snapToGrid/>
              <w:spacing w:line="240" w:lineRule="auto"/>
              <w:ind w:left="1946" w:right="-113" w:hanging="506"/>
              <w:rPr>
                <w:rFonts w:eastAsia="標楷體"/>
                <w:sz w:val="24"/>
              </w:rPr>
            </w:pPr>
            <w:r w:rsidRPr="00DD57A8">
              <w:rPr>
                <w:rFonts w:eastAsia="標楷體"/>
                <w:sz w:val="24"/>
              </w:rPr>
              <w:t>一般性技術引進或技術開發諮詢。</w:t>
            </w:r>
          </w:p>
          <w:p w:rsidR="00BA0059" w:rsidRPr="00DD57A8" w:rsidRDefault="00BA0059" w:rsidP="00DD57A8">
            <w:pPr>
              <w:numPr>
                <w:ilvl w:val="3"/>
                <w:numId w:val="1"/>
              </w:numPr>
              <w:adjustRightInd/>
              <w:snapToGrid/>
              <w:spacing w:line="240" w:lineRule="auto"/>
              <w:ind w:left="1946" w:right="-113" w:hanging="506"/>
              <w:rPr>
                <w:rFonts w:eastAsia="標楷體"/>
                <w:sz w:val="24"/>
              </w:rPr>
            </w:pPr>
            <w:r w:rsidRPr="00DD57A8">
              <w:rPr>
                <w:rFonts w:eastAsia="標楷體"/>
                <w:sz w:val="24"/>
              </w:rPr>
              <w:t>一般性企業經營管理諮詢。</w:t>
            </w:r>
          </w:p>
          <w:p w:rsidR="00BA0059" w:rsidRPr="00DD57A8" w:rsidRDefault="00BA0059" w:rsidP="00DD57A8">
            <w:pPr>
              <w:numPr>
                <w:ilvl w:val="3"/>
                <w:numId w:val="1"/>
              </w:numPr>
              <w:adjustRightInd/>
              <w:snapToGrid/>
              <w:spacing w:line="240" w:lineRule="auto"/>
              <w:ind w:left="1946" w:right="-113" w:hanging="506"/>
              <w:rPr>
                <w:rFonts w:eastAsia="標楷體"/>
                <w:sz w:val="24"/>
              </w:rPr>
            </w:pPr>
            <w:r w:rsidRPr="00DD57A8">
              <w:rPr>
                <w:rFonts w:eastAsia="標楷體"/>
                <w:sz w:val="24"/>
              </w:rPr>
              <w:t>一般性資料庫系統查詢。</w:t>
            </w:r>
          </w:p>
          <w:p w:rsidR="00BA0059" w:rsidRPr="00DD57A8" w:rsidRDefault="00BA0059" w:rsidP="00DD57A8">
            <w:pPr>
              <w:numPr>
                <w:ilvl w:val="3"/>
                <w:numId w:val="1"/>
              </w:numPr>
              <w:adjustRightInd/>
              <w:snapToGrid/>
              <w:spacing w:line="240" w:lineRule="auto"/>
              <w:ind w:left="1946" w:right="-113" w:hanging="506"/>
              <w:rPr>
                <w:rFonts w:eastAsia="標楷體"/>
                <w:sz w:val="24"/>
              </w:rPr>
            </w:pPr>
            <w:r w:rsidRPr="00DD57A8">
              <w:rPr>
                <w:rFonts w:eastAsia="標楷體"/>
                <w:sz w:val="24"/>
              </w:rPr>
              <w:t>行政管理支援。</w:t>
            </w:r>
          </w:p>
          <w:p w:rsidR="00BA0059" w:rsidRPr="00DD57A8" w:rsidRDefault="00BA0059" w:rsidP="00DD57A8">
            <w:pPr>
              <w:numPr>
                <w:ilvl w:val="3"/>
                <w:numId w:val="1"/>
              </w:numPr>
              <w:adjustRightInd/>
              <w:snapToGrid/>
              <w:spacing w:line="240" w:lineRule="auto"/>
              <w:ind w:left="1946" w:right="-113" w:hanging="506"/>
              <w:rPr>
                <w:rFonts w:eastAsia="標楷體"/>
                <w:sz w:val="24"/>
              </w:rPr>
            </w:pPr>
            <w:r w:rsidRPr="00DD57A8">
              <w:rPr>
                <w:rFonts w:eastAsia="標楷體"/>
                <w:sz w:val="24"/>
              </w:rPr>
              <w:t>其他未明載付費項目。</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付費輔導項目</w:t>
            </w:r>
          </w:p>
          <w:p w:rsidR="00BA0059" w:rsidRPr="00DD57A8" w:rsidRDefault="00BA0059" w:rsidP="00DD57A8">
            <w:pPr>
              <w:numPr>
                <w:ilvl w:val="3"/>
                <w:numId w:val="1"/>
              </w:numPr>
              <w:adjustRightInd/>
              <w:snapToGrid/>
              <w:spacing w:line="240" w:lineRule="auto"/>
              <w:ind w:left="1946" w:right="-113" w:hanging="506"/>
              <w:rPr>
                <w:rFonts w:eastAsia="標楷體"/>
                <w:sz w:val="24"/>
              </w:rPr>
            </w:pPr>
            <w:r w:rsidRPr="00DD57A8">
              <w:rPr>
                <w:rFonts w:eastAsia="標楷體"/>
                <w:sz w:val="24"/>
              </w:rPr>
              <w:t>各項專業課程訓練、活動、說明會、成果展示會等推廣活動。</w:t>
            </w:r>
          </w:p>
          <w:p w:rsidR="00BA0059" w:rsidRPr="00DD57A8" w:rsidRDefault="00BA0059" w:rsidP="00DD57A8">
            <w:pPr>
              <w:numPr>
                <w:ilvl w:val="3"/>
                <w:numId w:val="1"/>
              </w:numPr>
              <w:adjustRightInd/>
              <w:snapToGrid/>
              <w:spacing w:line="240" w:lineRule="auto"/>
              <w:ind w:left="1946" w:right="-113" w:hanging="506"/>
              <w:rPr>
                <w:rFonts w:eastAsia="標楷體"/>
                <w:sz w:val="24"/>
              </w:rPr>
            </w:pPr>
            <w:r w:rsidRPr="00DD57A8">
              <w:rPr>
                <w:rFonts w:eastAsia="標楷體"/>
                <w:sz w:val="24"/>
              </w:rPr>
              <w:t>技術合作開發或改良。</w:t>
            </w:r>
          </w:p>
          <w:p w:rsidR="00BA0059" w:rsidRPr="00DD57A8" w:rsidRDefault="00BA0059" w:rsidP="00DD57A8">
            <w:pPr>
              <w:numPr>
                <w:ilvl w:val="3"/>
                <w:numId w:val="1"/>
              </w:numPr>
              <w:adjustRightInd/>
              <w:snapToGrid/>
              <w:spacing w:line="240" w:lineRule="auto"/>
              <w:ind w:left="1946" w:right="-113" w:hanging="506"/>
              <w:rPr>
                <w:rFonts w:eastAsia="標楷體"/>
                <w:sz w:val="24"/>
              </w:rPr>
            </w:pPr>
            <w:r w:rsidRPr="00DD57A8">
              <w:rPr>
                <w:rFonts w:eastAsia="標楷體"/>
                <w:sz w:val="24"/>
              </w:rPr>
              <w:t>其他個別專案委託。</w:t>
            </w:r>
          </w:p>
          <w:p w:rsidR="00BA0059" w:rsidRPr="00DD57A8" w:rsidRDefault="00BA0059" w:rsidP="00DD57A8">
            <w:pPr>
              <w:numPr>
                <w:ilvl w:val="2"/>
                <w:numId w:val="1"/>
              </w:numPr>
              <w:adjustRightInd/>
              <w:snapToGrid/>
              <w:spacing w:line="240" w:lineRule="auto"/>
              <w:ind w:right="-113"/>
              <w:rPr>
                <w:rFonts w:eastAsia="標楷體"/>
                <w:sz w:val="24"/>
              </w:rPr>
            </w:pPr>
            <w:r w:rsidRPr="00DD57A8">
              <w:rPr>
                <w:rFonts w:eastAsia="標楷體"/>
                <w:sz w:val="24"/>
              </w:rPr>
              <w:t>回饋機制</w:t>
            </w:r>
          </w:p>
          <w:p w:rsidR="00BA0059" w:rsidRPr="00DD57A8" w:rsidRDefault="00BA0059" w:rsidP="00DD57A8">
            <w:pPr>
              <w:numPr>
                <w:ilvl w:val="3"/>
                <w:numId w:val="1"/>
              </w:numPr>
              <w:adjustRightInd/>
              <w:snapToGrid/>
              <w:spacing w:line="240" w:lineRule="auto"/>
              <w:ind w:left="1946" w:right="-113" w:hanging="506"/>
              <w:rPr>
                <w:rFonts w:eastAsia="標楷體"/>
                <w:sz w:val="24"/>
              </w:rPr>
            </w:pPr>
            <w:r w:rsidRPr="00DD57A8">
              <w:rPr>
                <w:rFonts w:eastAsia="標楷體"/>
                <w:sz w:val="24"/>
              </w:rPr>
              <w:t>公司及產品輔導</w:t>
            </w:r>
            <w:proofErr w:type="gramStart"/>
            <w:r w:rsidRPr="00DD57A8">
              <w:rPr>
                <w:rFonts w:eastAsia="標楷體"/>
                <w:sz w:val="24"/>
              </w:rPr>
              <w:t>有成而創超出</w:t>
            </w:r>
            <w:proofErr w:type="gramEnd"/>
            <w:r w:rsidRPr="00DD57A8">
              <w:rPr>
                <w:rFonts w:eastAsia="標楷體"/>
                <w:sz w:val="24"/>
              </w:rPr>
              <w:t>預期的營業額，其將按比例百</w:t>
            </w:r>
            <w:r w:rsidRPr="00DD57A8">
              <w:rPr>
                <w:rFonts w:eastAsia="標楷體"/>
                <w:sz w:val="24"/>
              </w:rPr>
              <w:t xml:space="preserve"> </w:t>
            </w:r>
            <w:r w:rsidRPr="00DD57A8">
              <w:rPr>
                <w:rFonts w:eastAsia="標楷體"/>
                <w:sz w:val="24"/>
              </w:rPr>
              <w:t>分比回饋本中心，其回饋金額將另訂定回饋合約書為之。</w:t>
            </w:r>
          </w:p>
          <w:p w:rsidR="00BA0059" w:rsidRPr="00DD57A8" w:rsidRDefault="00BA0059" w:rsidP="00DD57A8">
            <w:pPr>
              <w:numPr>
                <w:ilvl w:val="3"/>
                <w:numId w:val="1"/>
              </w:numPr>
              <w:adjustRightInd/>
              <w:snapToGrid/>
              <w:spacing w:line="240" w:lineRule="auto"/>
              <w:ind w:left="1946" w:right="-113" w:hanging="506"/>
              <w:rPr>
                <w:rFonts w:eastAsia="標楷體"/>
                <w:sz w:val="24"/>
              </w:rPr>
            </w:pPr>
            <w:r w:rsidRPr="00DD57A8">
              <w:rPr>
                <w:rFonts w:eastAsia="標楷體"/>
                <w:sz w:val="24"/>
              </w:rPr>
              <w:t>開發之專利產品或專利技術價值之回饋，另訂定回饋合約書為之。</w:t>
            </w:r>
          </w:p>
          <w:p w:rsidR="00BA0059" w:rsidRPr="00DD57A8" w:rsidRDefault="00BA0059" w:rsidP="00DD57A8">
            <w:pPr>
              <w:numPr>
                <w:ilvl w:val="3"/>
                <w:numId w:val="1"/>
              </w:numPr>
              <w:adjustRightInd/>
              <w:snapToGrid/>
              <w:spacing w:line="240" w:lineRule="auto"/>
              <w:ind w:left="1946" w:right="-113" w:hanging="506"/>
              <w:rPr>
                <w:rFonts w:eastAsia="標楷體"/>
                <w:sz w:val="24"/>
              </w:rPr>
            </w:pPr>
            <w:r w:rsidRPr="00DD57A8">
              <w:rPr>
                <w:rFonts w:eastAsia="標楷體"/>
                <w:sz w:val="24"/>
              </w:rPr>
              <w:t>其他企業捐贈，另訂定回饋合約書為之。</w:t>
            </w:r>
          </w:p>
          <w:p w:rsidR="00BA0059" w:rsidRPr="00DD57A8" w:rsidRDefault="00BA0059" w:rsidP="00DD57A8">
            <w:pPr>
              <w:numPr>
                <w:ilvl w:val="0"/>
                <w:numId w:val="1"/>
              </w:numPr>
              <w:adjustRightInd/>
              <w:snapToGrid/>
              <w:spacing w:line="240" w:lineRule="auto"/>
              <w:ind w:right="-113"/>
              <w:rPr>
                <w:rFonts w:eastAsia="標楷體"/>
                <w:sz w:val="24"/>
              </w:rPr>
            </w:pPr>
            <w:r w:rsidRPr="00DD57A8">
              <w:rPr>
                <w:rFonts w:eastAsia="標楷體"/>
                <w:sz w:val="24"/>
              </w:rPr>
              <w:t xml:space="preserve">　進駐本中心之權利與義務：</w:t>
            </w:r>
          </w:p>
          <w:p w:rsidR="00BA0059" w:rsidRPr="00DD57A8" w:rsidRDefault="00BA0059" w:rsidP="00DD57A8">
            <w:pPr>
              <w:ind w:leftChars="400" w:left="960" w:right="-113"/>
              <w:rPr>
                <w:rFonts w:eastAsia="標楷體"/>
                <w:sz w:val="24"/>
              </w:rPr>
            </w:pPr>
            <w:r w:rsidRPr="00DD57A8">
              <w:rPr>
                <w:rFonts w:eastAsia="標楷體"/>
                <w:sz w:val="24"/>
              </w:rPr>
              <w:t>一、權利</w:t>
            </w:r>
          </w:p>
          <w:p w:rsidR="00BA0059" w:rsidRPr="00DD57A8" w:rsidRDefault="00BA0059" w:rsidP="00DD57A8">
            <w:pPr>
              <w:numPr>
                <w:ilvl w:val="3"/>
                <w:numId w:val="1"/>
              </w:numPr>
              <w:adjustRightInd/>
              <w:snapToGrid/>
              <w:spacing w:line="240" w:lineRule="auto"/>
              <w:ind w:left="1946" w:right="-113" w:hanging="506"/>
              <w:rPr>
                <w:rFonts w:eastAsia="標楷體"/>
                <w:sz w:val="24"/>
              </w:rPr>
            </w:pPr>
            <w:r w:rsidRPr="00DD57A8">
              <w:rPr>
                <w:rFonts w:eastAsia="標楷體"/>
                <w:sz w:val="24"/>
              </w:rPr>
              <w:t>提供審查通過之進駐企業使用之空間。</w:t>
            </w:r>
          </w:p>
          <w:p w:rsidR="00BA0059" w:rsidRPr="00DD57A8" w:rsidRDefault="00BA0059" w:rsidP="00DD57A8">
            <w:pPr>
              <w:numPr>
                <w:ilvl w:val="3"/>
                <w:numId w:val="1"/>
              </w:numPr>
              <w:adjustRightInd/>
              <w:snapToGrid/>
              <w:spacing w:line="240" w:lineRule="auto"/>
              <w:ind w:left="1946" w:right="-113" w:hanging="506"/>
              <w:rPr>
                <w:rFonts w:eastAsia="標楷體"/>
                <w:sz w:val="24"/>
              </w:rPr>
            </w:pPr>
            <w:r w:rsidRPr="00DD57A8">
              <w:rPr>
                <w:rFonts w:eastAsia="標楷體"/>
                <w:sz w:val="24"/>
              </w:rPr>
              <w:t>經審查通過之進駐企業，進駐時可依需要局部自費裝修進駐空間，</w:t>
            </w:r>
            <w:r w:rsidRPr="00DD57A8">
              <w:rPr>
                <w:rFonts w:eastAsia="標楷體"/>
                <w:sz w:val="24"/>
              </w:rPr>
              <w:t xml:space="preserve"> </w:t>
            </w:r>
            <w:r w:rsidRPr="00DD57A8">
              <w:rPr>
                <w:rFonts w:eastAsia="標楷體"/>
                <w:sz w:val="24"/>
              </w:rPr>
              <w:t>進駐場所知水電配備或裝潢施工，需提出規劃設計案，由本中心提出申請呈報本校，經本校同意後交由空間管理委員會審核同意後始得施作。</w:t>
            </w:r>
          </w:p>
          <w:p w:rsidR="00BA0059" w:rsidRPr="00DD57A8" w:rsidRDefault="00BA0059" w:rsidP="00DD57A8">
            <w:pPr>
              <w:numPr>
                <w:ilvl w:val="3"/>
                <w:numId w:val="1"/>
              </w:numPr>
              <w:adjustRightInd/>
              <w:snapToGrid/>
              <w:spacing w:line="240" w:lineRule="auto"/>
              <w:ind w:left="1932" w:right="-113" w:hanging="492"/>
              <w:rPr>
                <w:rFonts w:eastAsia="標楷體"/>
                <w:sz w:val="24"/>
              </w:rPr>
            </w:pPr>
            <w:r w:rsidRPr="00DD57A8">
              <w:rPr>
                <w:rFonts w:eastAsia="標楷體"/>
                <w:sz w:val="24"/>
              </w:rPr>
              <w:t>進駐空間得做為適宜空間條件之研發、創作、生產、展覽、推廣傳習、聯誼場所，惟不得影響環境安寧及安全之情事。</w:t>
            </w:r>
          </w:p>
          <w:p w:rsidR="00BA0059" w:rsidRPr="00DD57A8" w:rsidRDefault="00BA0059" w:rsidP="00DD57A8">
            <w:pPr>
              <w:numPr>
                <w:ilvl w:val="3"/>
                <w:numId w:val="1"/>
              </w:numPr>
              <w:adjustRightInd/>
              <w:snapToGrid/>
              <w:spacing w:line="240" w:lineRule="auto"/>
              <w:ind w:left="1980" w:right="-113" w:hanging="540"/>
              <w:rPr>
                <w:rFonts w:eastAsia="標楷體"/>
                <w:sz w:val="24"/>
              </w:rPr>
            </w:pPr>
            <w:r w:rsidRPr="00DD57A8">
              <w:rPr>
                <w:rFonts w:eastAsia="標楷體"/>
                <w:sz w:val="24"/>
              </w:rPr>
              <w:t>進駐空間不得登記為企業分公司所在地。</w:t>
            </w:r>
          </w:p>
          <w:p w:rsidR="00BA0059" w:rsidRPr="00DD57A8" w:rsidRDefault="00BA0059" w:rsidP="00DD57A8">
            <w:pPr>
              <w:numPr>
                <w:ilvl w:val="3"/>
                <w:numId w:val="1"/>
              </w:numPr>
              <w:adjustRightInd/>
              <w:snapToGrid/>
              <w:spacing w:line="240" w:lineRule="auto"/>
              <w:ind w:left="1932" w:right="-113" w:hanging="492"/>
              <w:rPr>
                <w:rFonts w:eastAsia="標楷體"/>
                <w:sz w:val="24"/>
              </w:rPr>
            </w:pPr>
            <w:r w:rsidRPr="00DD57A8">
              <w:rPr>
                <w:rFonts w:eastAsia="標楷體"/>
                <w:sz w:val="24"/>
              </w:rPr>
              <w:t>進駐</w:t>
            </w:r>
            <w:proofErr w:type="gramStart"/>
            <w:r w:rsidRPr="00DD57A8">
              <w:rPr>
                <w:rFonts w:eastAsia="標楷體"/>
                <w:sz w:val="24"/>
              </w:rPr>
              <w:t>期間，</w:t>
            </w:r>
            <w:proofErr w:type="gramEnd"/>
            <w:r w:rsidRPr="00DD57A8">
              <w:rPr>
                <w:rFonts w:eastAsia="標楷體"/>
                <w:sz w:val="24"/>
              </w:rPr>
              <w:t>創意或技術研發之成果，其所有權歸本校及進駐企業共同擁有，其權利將另行訂定合約規範之。</w:t>
            </w:r>
          </w:p>
          <w:p w:rsidR="00BA0059" w:rsidRPr="00DD57A8" w:rsidRDefault="00BA0059" w:rsidP="00DD57A8">
            <w:pPr>
              <w:autoSpaceDE w:val="0"/>
              <w:autoSpaceDN w:val="0"/>
              <w:ind w:leftChars="400" w:left="960" w:right="-113"/>
              <w:rPr>
                <w:rFonts w:eastAsia="標楷體"/>
                <w:sz w:val="24"/>
              </w:rPr>
            </w:pPr>
            <w:r w:rsidRPr="00DD57A8">
              <w:rPr>
                <w:rFonts w:eastAsia="標楷體"/>
                <w:sz w:val="24"/>
              </w:rPr>
              <w:t>二、義務</w:t>
            </w:r>
          </w:p>
          <w:p w:rsidR="00BA0059" w:rsidRPr="00DD57A8" w:rsidRDefault="00BA0059" w:rsidP="00DD57A8">
            <w:pPr>
              <w:numPr>
                <w:ilvl w:val="0"/>
                <w:numId w:val="2"/>
              </w:numPr>
              <w:autoSpaceDE w:val="0"/>
              <w:autoSpaceDN w:val="0"/>
              <w:snapToGrid/>
              <w:spacing w:line="240" w:lineRule="auto"/>
              <w:ind w:right="-113"/>
              <w:rPr>
                <w:rFonts w:eastAsia="標楷體"/>
                <w:sz w:val="24"/>
              </w:rPr>
            </w:pPr>
            <w:r w:rsidRPr="00DD57A8">
              <w:rPr>
                <w:rFonts w:eastAsia="標楷體"/>
                <w:sz w:val="24"/>
              </w:rPr>
              <w:t>進駐企業應將常駐育成中心之成員通報本中心，並遵守本中</w:t>
            </w:r>
            <w:r w:rsidRPr="00DD57A8">
              <w:rPr>
                <w:rFonts w:eastAsia="標楷體"/>
                <w:sz w:val="24"/>
              </w:rPr>
              <w:t xml:space="preserve"> </w:t>
            </w:r>
            <w:r w:rsidRPr="00DD57A8">
              <w:rPr>
                <w:rFonts w:eastAsia="標楷體"/>
                <w:sz w:val="24"/>
              </w:rPr>
              <w:t>心門禁各項規定。</w:t>
            </w:r>
          </w:p>
          <w:p w:rsidR="00BA0059" w:rsidRPr="00DD57A8" w:rsidRDefault="00BA0059" w:rsidP="00DD57A8">
            <w:pPr>
              <w:numPr>
                <w:ilvl w:val="0"/>
                <w:numId w:val="2"/>
              </w:numPr>
              <w:autoSpaceDE w:val="0"/>
              <w:autoSpaceDN w:val="0"/>
              <w:snapToGrid/>
              <w:spacing w:line="240" w:lineRule="auto"/>
              <w:ind w:right="-113"/>
              <w:rPr>
                <w:rFonts w:eastAsia="標楷體"/>
                <w:sz w:val="24"/>
              </w:rPr>
            </w:pPr>
            <w:r w:rsidRPr="00DD57A8">
              <w:rPr>
                <w:rFonts w:eastAsia="標楷體"/>
                <w:sz w:val="24"/>
              </w:rPr>
              <w:t>進駐者須配合本中心營運規劃，提供創意或技術研發成果辦</w:t>
            </w:r>
            <w:r w:rsidRPr="00DD57A8">
              <w:rPr>
                <w:rFonts w:eastAsia="標楷體"/>
                <w:sz w:val="24"/>
              </w:rPr>
              <w:t xml:space="preserve"> </w:t>
            </w:r>
            <w:r w:rsidRPr="00DD57A8">
              <w:rPr>
                <w:rFonts w:eastAsia="標楷體"/>
                <w:sz w:val="24"/>
              </w:rPr>
              <w:t>理市場行銷、媒體宣傳等。</w:t>
            </w:r>
          </w:p>
          <w:p w:rsidR="00BA0059" w:rsidRPr="00DD57A8" w:rsidRDefault="00BA0059" w:rsidP="00DD57A8">
            <w:pPr>
              <w:numPr>
                <w:ilvl w:val="0"/>
                <w:numId w:val="2"/>
              </w:numPr>
              <w:autoSpaceDE w:val="0"/>
              <w:autoSpaceDN w:val="0"/>
              <w:snapToGrid/>
              <w:spacing w:line="240" w:lineRule="auto"/>
              <w:ind w:right="-113"/>
              <w:rPr>
                <w:rFonts w:eastAsia="標楷體"/>
                <w:sz w:val="24"/>
              </w:rPr>
            </w:pPr>
            <w:r w:rsidRPr="00DD57A8">
              <w:rPr>
                <w:rFonts w:eastAsia="標楷體"/>
                <w:sz w:val="24"/>
              </w:rPr>
              <w:t>進駐者除應按本中心訂定之回饋辦法履行義務之外，並應行負擔繳交每月清潔費與電費，以及其他創作機具、材料、稅捐、通訊費等一般費用。</w:t>
            </w:r>
          </w:p>
          <w:p w:rsidR="00BA0059" w:rsidRPr="00DD57A8" w:rsidRDefault="00BA0059" w:rsidP="00DD57A8">
            <w:pPr>
              <w:numPr>
                <w:ilvl w:val="0"/>
                <w:numId w:val="2"/>
              </w:numPr>
              <w:tabs>
                <w:tab w:val="num" w:pos="1918"/>
              </w:tabs>
              <w:autoSpaceDE w:val="0"/>
              <w:autoSpaceDN w:val="0"/>
              <w:snapToGrid/>
              <w:spacing w:line="240" w:lineRule="auto"/>
              <w:ind w:right="-113"/>
              <w:rPr>
                <w:rFonts w:eastAsia="標楷體"/>
                <w:sz w:val="24"/>
              </w:rPr>
            </w:pPr>
            <w:r w:rsidRPr="00DD57A8">
              <w:rPr>
                <w:rFonts w:eastAsia="標楷體"/>
                <w:sz w:val="24"/>
              </w:rPr>
              <w:t>於進駐</w:t>
            </w:r>
            <w:proofErr w:type="gramStart"/>
            <w:r w:rsidRPr="00DD57A8">
              <w:rPr>
                <w:rFonts w:eastAsia="標楷體"/>
                <w:sz w:val="24"/>
              </w:rPr>
              <w:t>期間，</w:t>
            </w:r>
            <w:proofErr w:type="gramEnd"/>
            <w:r w:rsidRPr="00DD57A8">
              <w:rPr>
                <w:rFonts w:eastAsia="標楷體"/>
                <w:sz w:val="24"/>
              </w:rPr>
              <w:t>創意或技術研發成果之所有權歸本校及進駐企業共同擁有，進駐企業應將研發成果交付一份給本中心，其商品化行銷之服務，須另訂合約訂定該作品之銷售、展覽、發表與出版權。</w:t>
            </w:r>
          </w:p>
          <w:p w:rsidR="00BA0059" w:rsidRPr="00DD57A8" w:rsidRDefault="00BA0059" w:rsidP="00DD57A8">
            <w:pPr>
              <w:numPr>
                <w:ilvl w:val="0"/>
                <w:numId w:val="2"/>
              </w:numPr>
              <w:tabs>
                <w:tab w:val="num" w:pos="1918"/>
              </w:tabs>
              <w:autoSpaceDE w:val="0"/>
              <w:autoSpaceDN w:val="0"/>
              <w:snapToGrid/>
              <w:spacing w:line="240" w:lineRule="auto"/>
              <w:ind w:right="-113"/>
              <w:rPr>
                <w:rFonts w:eastAsia="標楷體"/>
                <w:sz w:val="24"/>
              </w:rPr>
            </w:pPr>
            <w:r w:rsidRPr="00DD57A8">
              <w:rPr>
                <w:rFonts w:eastAsia="標楷體"/>
                <w:sz w:val="24"/>
              </w:rPr>
              <w:t>進駐者需負責進駐空間及其周圍環境維護與建築原貌之，申請自行改變原貌者應於離開前恢復原貌。</w:t>
            </w:r>
          </w:p>
          <w:p w:rsidR="00BA0059" w:rsidRPr="00DD57A8" w:rsidRDefault="00BA0059" w:rsidP="00DD57A8">
            <w:pPr>
              <w:numPr>
                <w:ilvl w:val="0"/>
                <w:numId w:val="1"/>
              </w:numPr>
              <w:adjustRightInd/>
              <w:snapToGrid/>
              <w:spacing w:line="240" w:lineRule="auto"/>
              <w:ind w:right="-113"/>
              <w:rPr>
                <w:rFonts w:eastAsia="標楷體"/>
                <w:sz w:val="24"/>
              </w:rPr>
            </w:pPr>
            <w:r w:rsidRPr="00DD57A8">
              <w:rPr>
                <w:rFonts w:eastAsia="標楷體"/>
                <w:sz w:val="24"/>
              </w:rPr>
              <w:t xml:space="preserve">　公共設施管理</w:t>
            </w:r>
          </w:p>
          <w:p w:rsidR="00BA0059" w:rsidRPr="00DD57A8" w:rsidRDefault="00BA0059" w:rsidP="00DD57A8">
            <w:pPr>
              <w:numPr>
                <w:ilvl w:val="3"/>
                <w:numId w:val="1"/>
              </w:numPr>
              <w:adjustRightInd/>
              <w:snapToGrid/>
              <w:spacing w:line="240" w:lineRule="auto"/>
              <w:ind w:right="-113"/>
              <w:rPr>
                <w:rFonts w:eastAsia="標楷體"/>
                <w:sz w:val="24"/>
              </w:rPr>
            </w:pPr>
            <w:r w:rsidRPr="00DD57A8">
              <w:rPr>
                <w:rFonts w:eastAsia="標楷體"/>
                <w:sz w:val="24"/>
              </w:rPr>
              <w:t>公共設施之使用分為自助式使用及使用者付費式使用兩種。自助式使用者，應盡善良管理人責任確實按每項設施使用注意事項使用之；使用者付費式公共設施，</w:t>
            </w:r>
            <w:proofErr w:type="gramStart"/>
            <w:r w:rsidRPr="00DD57A8">
              <w:rPr>
                <w:rFonts w:eastAsia="標楷體"/>
                <w:sz w:val="24"/>
              </w:rPr>
              <w:t>採</w:t>
            </w:r>
            <w:proofErr w:type="gramEnd"/>
            <w:r w:rsidRPr="00DD57A8">
              <w:rPr>
                <w:rFonts w:eastAsia="標楷體"/>
                <w:sz w:val="24"/>
              </w:rPr>
              <w:t>先使用後付款原則，定期與本中心結算一次。</w:t>
            </w:r>
          </w:p>
          <w:p w:rsidR="00BA0059" w:rsidRPr="00DD57A8" w:rsidRDefault="00BA0059" w:rsidP="00DD57A8">
            <w:pPr>
              <w:numPr>
                <w:ilvl w:val="3"/>
                <w:numId w:val="1"/>
              </w:numPr>
              <w:adjustRightInd/>
              <w:snapToGrid/>
              <w:spacing w:line="240" w:lineRule="auto"/>
              <w:ind w:right="-113"/>
              <w:rPr>
                <w:rFonts w:eastAsia="標楷體"/>
                <w:sz w:val="24"/>
              </w:rPr>
            </w:pPr>
            <w:r w:rsidRPr="00DD57A8">
              <w:rPr>
                <w:rFonts w:eastAsia="標楷體"/>
                <w:sz w:val="24"/>
              </w:rPr>
              <w:t>公共設施使用時間若有重疊，將由本中心進行協調。</w:t>
            </w:r>
          </w:p>
          <w:p w:rsidR="00BA0059" w:rsidRPr="00DD57A8" w:rsidRDefault="00BA0059" w:rsidP="00DD57A8">
            <w:pPr>
              <w:numPr>
                <w:ilvl w:val="0"/>
                <w:numId w:val="1"/>
              </w:numPr>
              <w:tabs>
                <w:tab w:val="num" w:pos="1080"/>
              </w:tabs>
              <w:adjustRightInd/>
              <w:snapToGrid/>
              <w:spacing w:line="240" w:lineRule="auto"/>
              <w:ind w:left="1080" w:right="-113" w:hanging="1080"/>
              <w:rPr>
                <w:rFonts w:eastAsia="標楷體"/>
                <w:sz w:val="24"/>
              </w:rPr>
            </w:pPr>
            <w:r w:rsidRPr="00DD57A8">
              <w:rPr>
                <w:rFonts w:eastAsia="標楷體"/>
                <w:sz w:val="24"/>
              </w:rPr>
              <w:t>營運績效管理，進駐企業每兩</w:t>
            </w:r>
            <w:proofErr w:type="gramStart"/>
            <w:r w:rsidRPr="00DD57A8">
              <w:rPr>
                <w:rFonts w:eastAsia="標楷體"/>
                <w:sz w:val="24"/>
              </w:rPr>
              <w:t>個</w:t>
            </w:r>
            <w:proofErr w:type="gramEnd"/>
            <w:r w:rsidRPr="00DD57A8">
              <w:rPr>
                <w:rFonts w:eastAsia="標楷體"/>
                <w:sz w:val="24"/>
              </w:rPr>
              <w:t>月需要繳交</w:t>
            </w:r>
            <w:r w:rsidRPr="00DD57A8">
              <w:rPr>
                <w:rFonts w:eastAsia="標楷體"/>
                <w:sz w:val="24"/>
              </w:rPr>
              <w:t>401</w:t>
            </w:r>
            <w:r w:rsidRPr="00DD57A8">
              <w:rPr>
                <w:rFonts w:eastAsia="標楷體"/>
                <w:sz w:val="24"/>
              </w:rPr>
              <w:t>報表及每</w:t>
            </w:r>
            <w:proofErr w:type="gramStart"/>
            <w:r w:rsidRPr="00DD57A8">
              <w:rPr>
                <w:rFonts w:eastAsia="標楷體"/>
                <w:sz w:val="24"/>
              </w:rPr>
              <w:t>個</w:t>
            </w:r>
            <w:proofErr w:type="gramEnd"/>
            <w:r w:rsidRPr="00DD57A8">
              <w:rPr>
                <w:rFonts w:eastAsia="標楷體"/>
                <w:sz w:val="24"/>
              </w:rPr>
              <w:t>月的勞保明細表送至本中心備查。</w:t>
            </w:r>
          </w:p>
          <w:p w:rsidR="00BA0059" w:rsidRPr="00DD57A8" w:rsidRDefault="00BA0059" w:rsidP="00DD57A8">
            <w:pPr>
              <w:numPr>
                <w:ilvl w:val="0"/>
                <w:numId w:val="1"/>
              </w:numPr>
              <w:adjustRightInd/>
              <w:snapToGrid/>
              <w:spacing w:line="240" w:lineRule="auto"/>
              <w:ind w:right="-113"/>
              <w:rPr>
                <w:rFonts w:eastAsia="標楷體"/>
                <w:sz w:val="24"/>
              </w:rPr>
            </w:pPr>
            <w:r w:rsidRPr="00DD57A8">
              <w:rPr>
                <w:rFonts w:eastAsia="標楷體"/>
                <w:sz w:val="24"/>
              </w:rPr>
              <w:t xml:space="preserve">  </w:t>
            </w:r>
            <w:r w:rsidRPr="00DD57A8">
              <w:rPr>
                <w:rFonts w:eastAsia="標楷體"/>
                <w:sz w:val="24"/>
              </w:rPr>
              <w:t>進駐遷離、畢業管理，依「樹德科技大學創新育成中心進駐廠商</w:t>
            </w:r>
          </w:p>
          <w:p w:rsidR="00BA0059" w:rsidRPr="00DD57A8" w:rsidRDefault="00BA0059" w:rsidP="00DD57A8">
            <w:pPr>
              <w:ind w:right="-113" w:firstLineChars="450" w:firstLine="1080"/>
              <w:rPr>
                <w:rFonts w:eastAsia="標楷體"/>
                <w:sz w:val="24"/>
              </w:rPr>
            </w:pPr>
            <w:r w:rsidRPr="00DD57A8">
              <w:rPr>
                <w:rFonts w:eastAsia="標楷體"/>
                <w:sz w:val="24"/>
              </w:rPr>
              <w:t>業／遷離審核標準」辦法為之。</w:t>
            </w:r>
          </w:p>
          <w:p w:rsidR="00BA0059" w:rsidRPr="00DD57A8" w:rsidRDefault="00BA0059" w:rsidP="00DD57A8">
            <w:pPr>
              <w:numPr>
                <w:ilvl w:val="0"/>
                <w:numId w:val="1"/>
              </w:numPr>
              <w:adjustRightInd/>
              <w:snapToGrid/>
              <w:spacing w:line="240" w:lineRule="auto"/>
              <w:ind w:right="-113"/>
              <w:rPr>
                <w:rFonts w:eastAsia="標楷體"/>
                <w:sz w:val="24"/>
              </w:rPr>
            </w:pPr>
            <w:r w:rsidRPr="00DD57A8">
              <w:rPr>
                <w:rFonts w:eastAsia="標楷體"/>
                <w:sz w:val="24"/>
              </w:rPr>
              <w:t xml:space="preserve">  </w:t>
            </w:r>
            <w:r w:rsidRPr="00DD57A8">
              <w:rPr>
                <w:rFonts w:eastAsia="標楷體"/>
                <w:sz w:val="24"/>
              </w:rPr>
              <w:t>本辦法若有未盡事宜，得於年度檢討時修訂之。</w:t>
            </w:r>
          </w:p>
          <w:p w:rsidR="00BA0059" w:rsidRPr="00DD57A8" w:rsidRDefault="00BA0059" w:rsidP="00DD57A8">
            <w:pPr>
              <w:adjustRightInd/>
              <w:snapToGrid/>
              <w:spacing w:line="240" w:lineRule="auto"/>
              <w:ind w:right="-113"/>
              <w:rPr>
                <w:rFonts w:eastAsia="標楷體"/>
                <w:sz w:val="24"/>
              </w:rPr>
            </w:pPr>
          </w:p>
        </w:tc>
      </w:tr>
    </w:tbl>
    <w:p w:rsidR="00E65591" w:rsidRPr="00BA0059" w:rsidRDefault="00813A61" w:rsidP="00DD57A8">
      <w:pPr>
        <w:jc w:val="both"/>
      </w:pPr>
    </w:p>
    <w:sectPr w:rsidR="00E65591" w:rsidRPr="00BA0059">
      <w:headerReference w:type="even" r:id="rId8"/>
      <w:headerReference w:type="default" r:id="rId9"/>
      <w:headerReference w:type="firs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8E1" w:rsidRDefault="004818E1" w:rsidP="00894DCB">
      <w:r>
        <w:separator/>
      </w:r>
    </w:p>
  </w:endnote>
  <w:endnote w:type="continuationSeparator" w:id="0">
    <w:p w:rsidR="004818E1" w:rsidRDefault="004818E1" w:rsidP="0089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8E1" w:rsidRDefault="004818E1" w:rsidP="00894DCB">
      <w:r>
        <w:separator/>
      </w:r>
    </w:p>
  </w:footnote>
  <w:footnote w:type="continuationSeparator" w:id="0">
    <w:p w:rsidR="004818E1" w:rsidRDefault="004818E1" w:rsidP="00894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CB" w:rsidRDefault="00813A61">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13447" o:spid="_x0000_s2050" type="#_x0000_t75" style="position:absolute;margin-left:0;margin-top:0;width:415.25pt;height:367.85pt;z-index:-251657216;mso-position-horizontal:center;mso-position-horizontal-relative:margin;mso-position-vertical:center;mso-position-vertical-relative:margin" o:allowincell="f">
          <v:imagedata r:id="rId1" o:title="LOGO_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CB" w:rsidRDefault="00813A61">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13448" o:spid="_x0000_s2051" type="#_x0000_t75" style="position:absolute;margin-left:0;margin-top:0;width:415.25pt;height:367.85pt;z-index:-251656192;mso-position-horizontal:center;mso-position-horizontal-relative:margin;mso-position-vertical:center;mso-position-vertical-relative:margin" o:allowincell="f">
          <v:imagedata r:id="rId1" o:title="LOGO_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CB" w:rsidRDefault="00813A61">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13446" o:spid="_x0000_s2049" type="#_x0000_t75" style="position:absolute;margin-left:0;margin-top:0;width:415.25pt;height:367.85pt;z-index:-251658240;mso-position-horizontal:center;mso-position-horizontal-relative:margin;mso-position-vertical:center;mso-position-vertical-relative:margin" o:allowincell="f">
          <v:imagedata r:id="rId1" o:title="LOGO_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3596"/>
    <w:multiLevelType w:val="hybridMultilevel"/>
    <w:tmpl w:val="E184464C"/>
    <w:lvl w:ilvl="0" w:tplc="036CA304">
      <w:start w:val="1"/>
      <w:numFmt w:val="taiwaneseCountingThousand"/>
      <w:lvlText w:val="(%1)"/>
      <w:lvlJc w:val="left"/>
      <w:pPr>
        <w:tabs>
          <w:tab w:val="num" w:pos="1780"/>
        </w:tabs>
        <w:ind w:left="178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A8C7679"/>
    <w:multiLevelType w:val="hybridMultilevel"/>
    <w:tmpl w:val="8B7A345E"/>
    <w:lvl w:ilvl="0" w:tplc="73E48164">
      <w:start w:val="1"/>
      <w:numFmt w:val="taiwaneseCountingThousand"/>
      <w:lvlText w:val="第%1條"/>
      <w:lvlJc w:val="left"/>
      <w:pPr>
        <w:tabs>
          <w:tab w:val="num" w:pos="960"/>
        </w:tabs>
        <w:ind w:left="960" w:hanging="960"/>
      </w:pPr>
      <w:rPr>
        <w:rFonts w:hint="default"/>
        <w:sz w:val="24"/>
        <w:szCs w:val="24"/>
      </w:rPr>
    </w:lvl>
    <w:lvl w:ilvl="1" w:tplc="04090019">
      <w:start w:val="1"/>
      <w:numFmt w:val="ideographTraditional"/>
      <w:lvlText w:val="%2、"/>
      <w:lvlJc w:val="left"/>
      <w:pPr>
        <w:tabs>
          <w:tab w:val="num" w:pos="960"/>
        </w:tabs>
        <w:ind w:left="960" w:hanging="480"/>
      </w:pPr>
    </w:lvl>
    <w:lvl w:ilvl="2" w:tplc="5E12426C">
      <w:start w:val="1"/>
      <w:numFmt w:val="taiwaneseCountingThousand"/>
      <w:lvlText w:val="%3、"/>
      <w:lvlJc w:val="left"/>
      <w:pPr>
        <w:tabs>
          <w:tab w:val="num" w:pos="1606"/>
        </w:tabs>
        <w:ind w:left="1606" w:hanging="646"/>
      </w:pPr>
      <w:rPr>
        <w:rFonts w:hint="eastAsia"/>
      </w:rPr>
    </w:lvl>
    <w:lvl w:ilvl="3" w:tplc="036CA304">
      <w:start w:val="1"/>
      <w:numFmt w:val="taiwaneseCountingThousand"/>
      <w:lvlText w:val="(%4)"/>
      <w:lvlJc w:val="left"/>
      <w:pPr>
        <w:tabs>
          <w:tab w:val="num" w:pos="1780"/>
        </w:tabs>
        <w:ind w:left="1780" w:hanging="340"/>
      </w:pPr>
      <w:rPr>
        <w:rFonts w:hint="eastAsia"/>
      </w:rPr>
    </w:lvl>
    <w:lvl w:ilvl="4" w:tplc="CEE83B30">
      <w:start w:val="1"/>
      <w:numFmt w:val="taiwaneseCountingThousand"/>
      <w:lvlText w:val="%5、"/>
      <w:lvlJc w:val="left"/>
      <w:pPr>
        <w:tabs>
          <w:tab w:val="num" w:pos="2385"/>
        </w:tabs>
        <w:ind w:left="2385" w:hanging="465"/>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59"/>
    <w:rsid w:val="00356A50"/>
    <w:rsid w:val="004818E1"/>
    <w:rsid w:val="006867ED"/>
    <w:rsid w:val="00813A61"/>
    <w:rsid w:val="00894DCB"/>
    <w:rsid w:val="00BA0059"/>
    <w:rsid w:val="00DD5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17B6888-9C62-49FB-A7E1-3B0EC531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0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0059"/>
    <w:pPr>
      <w:widowControl w:val="0"/>
      <w:adjustRightInd w:val="0"/>
      <w:snapToGrid w:val="0"/>
      <w:spacing w:line="460" w:lineRule="exact"/>
      <w:jc w:val="both"/>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4DCB"/>
    <w:pPr>
      <w:tabs>
        <w:tab w:val="center" w:pos="4153"/>
        <w:tab w:val="right" w:pos="8306"/>
      </w:tabs>
      <w:snapToGrid w:val="0"/>
    </w:pPr>
    <w:rPr>
      <w:sz w:val="20"/>
      <w:szCs w:val="20"/>
    </w:rPr>
  </w:style>
  <w:style w:type="character" w:customStyle="1" w:styleId="a5">
    <w:name w:val="頁首 字元"/>
    <w:basedOn w:val="a0"/>
    <w:link w:val="a4"/>
    <w:uiPriority w:val="99"/>
    <w:rsid w:val="00894DCB"/>
    <w:rPr>
      <w:rFonts w:ascii="Times New Roman" w:eastAsia="新細明體" w:hAnsi="Times New Roman" w:cs="Times New Roman"/>
      <w:sz w:val="20"/>
      <w:szCs w:val="20"/>
    </w:rPr>
  </w:style>
  <w:style w:type="paragraph" w:styleId="a6">
    <w:name w:val="footer"/>
    <w:basedOn w:val="a"/>
    <w:link w:val="a7"/>
    <w:uiPriority w:val="99"/>
    <w:unhideWhenUsed/>
    <w:rsid w:val="00894DCB"/>
    <w:pPr>
      <w:tabs>
        <w:tab w:val="center" w:pos="4153"/>
        <w:tab w:val="right" w:pos="8306"/>
      </w:tabs>
      <w:snapToGrid w:val="0"/>
    </w:pPr>
    <w:rPr>
      <w:sz w:val="20"/>
      <w:szCs w:val="20"/>
    </w:rPr>
  </w:style>
  <w:style w:type="character" w:customStyle="1" w:styleId="a7">
    <w:name w:val="頁尾 字元"/>
    <w:basedOn w:val="a0"/>
    <w:link w:val="a6"/>
    <w:uiPriority w:val="99"/>
    <w:rsid w:val="00894DC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7F9AD-DE50-4C6D-9471-AE9641F4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尤郁茹</dc:creator>
  <cp:lastModifiedBy>RStu</cp:lastModifiedBy>
  <cp:revision>2</cp:revision>
  <dcterms:created xsi:type="dcterms:W3CDTF">2016-08-01T04:08:00Z</dcterms:created>
  <dcterms:modified xsi:type="dcterms:W3CDTF">2016-08-01T04:08:00Z</dcterms:modified>
</cp:coreProperties>
</file>